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kinsoku/>
        <w:overflowPunct/>
        <w:topLinePunct w:val="0"/>
        <w:autoSpaceDE w:val="0"/>
        <w:autoSpaceDN w:val="0"/>
        <w:bidi w:val="0"/>
        <w:adjustRightInd w:val="0"/>
        <w:spacing w:line="520" w:lineRule="exact"/>
        <w:jc w:val="left"/>
        <w:textAlignment w:val="auto"/>
        <w:rPr>
          <w:rFonts w:ascii="黑体" w:hAnsi="黑体" w:eastAsia="黑体" w:cs="Times New Roman"/>
          <w:sz w:val="30"/>
          <w:szCs w:val="30"/>
        </w:rPr>
      </w:pPr>
      <w:r>
        <w:rPr>
          <w:rFonts w:hint="eastAsia" w:ascii="仿宋_GB2312" w:hAnsi="黑体" w:eastAsia="仿宋_GB2312" w:cs="Times New Roman"/>
          <w:b/>
          <w:sz w:val="30"/>
          <w:szCs w:val="30"/>
        </w:rPr>
        <w:t>附</w:t>
      </w:r>
      <w:r>
        <w:rPr>
          <w:rFonts w:hint="eastAsia" w:ascii="仿宋_GB2312" w:hAnsi="黑体" w:eastAsia="仿宋_GB2312" w:cs="Times New Roman"/>
          <w:b/>
          <w:sz w:val="30"/>
          <w:szCs w:val="30"/>
          <w:lang w:val="en-US" w:eastAsia="zh-CN"/>
        </w:rPr>
        <w:t>件</w:t>
      </w:r>
      <w:r>
        <w:rPr>
          <w:rFonts w:hint="eastAsia" w:ascii="Times New Roman" w:hAnsi="Times New Roman" w:eastAsia="黑体" w:cs="Times New Roman"/>
          <w:sz w:val="30"/>
          <w:szCs w:val="30"/>
        </w:rPr>
        <w:t>1</w:t>
      </w:r>
    </w:p>
    <w:p>
      <w:pPr>
        <w:keepNext w:val="0"/>
        <w:keepLines w:val="0"/>
        <w:kinsoku/>
        <w:overflowPunct/>
        <w:topLinePunct w:val="0"/>
        <w:bidi w:val="0"/>
        <w:spacing w:line="520" w:lineRule="exact"/>
        <w:jc w:val="center"/>
        <w:textAlignment w:val="auto"/>
        <w:rPr>
          <w:rFonts w:hint="eastAsia" w:ascii="方正小标宋简体" w:eastAsia="方正小标宋简体" w:hAnsiTheme="minorHAnsi" w:cstheme="minorBidi"/>
          <w:color w:val="000000" w:themeColor="text1"/>
          <w:sz w:val="30"/>
          <w:szCs w:val="30"/>
          <w:lang w:eastAsia="zh-CN"/>
          <w14:textFill>
            <w14:solidFill>
              <w14:schemeClr w14:val="tx1"/>
            </w14:solidFill>
          </w14:textFill>
        </w:rPr>
      </w:pPr>
      <w:bookmarkStart w:id="0" w:name="_GoBack"/>
      <w:r>
        <w:rPr>
          <w:rFonts w:hint="eastAsia" w:ascii="方正小标宋简体" w:eastAsia="方正小标宋简体" w:hAnsiTheme="minorHAnsi" w:cstheme="minorBidi"/>
          <w:color w:val="000000" w:themeColor="text1"/>
          <w:sz w:val="30"/>
          <w:szCs w:val="30"/>
          <w:lang w:val="en-US" w:eastAsia="zh-CN"/>
          <w14:textFill>
            <w14:solidFill>
              <w14:schemeClr w14:val="tx1"/>
            </w14:solidFill>
          </w14:textFill>
        </w:rPr>
        <w:t>厦门大学嘉庚学院第四届</w:t>
      </w:r>
      <w:r>
        <w:rPr>
          <w:rFonts w:hint="eastAsia" w:ascii="方正小标宋简体" w:eastAsia="方正小标宋简体" w:hAnsiTheme="minorHAnsi" w:cstheme="minorBidi"/>
          <w:color w:val="000000" w:themeColor="text1"/>
          <w:sz w:val="30"/>
          <w:szCs w:val="30"/>
          <w14:textFill>
            <w14:solidFill>
              <w14:schemeClr w14:val="tx1"/>
            </w14:solidFill>
          </w14:textFill>
        </w:rPr>
        <w:t>网络文化节作品创作</w:t>
      </w:r>
      <w:r>
        <w:rPr>
          <w:rFonts w:hint="eastAsia" w:ascii="方正小标宋简体" w:eastAsia="方正小标宋简体" w:hAnsiTheme="minorHAnsi" w:cstheme="minorBidi"/>
          <w:color w:val="000000" w:themeColor="text1"/>
          <w:sz w:val="30"/>
          <w:szCs w:val="30"/>
          <w:lang w:eastAsia="zh-CN"/>
          <w14:textFill>
            <w14:solidFill>
              <w14:schemeClr w14:val="tx1"/>
            </w14:solidFill>
          </w14:textFill>
        </w:rPr>
        <w:t>选题参考</w:t>
      </w:r>
    </w:p>
    <w:bookmarkEnd w:id="0"/>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3.学习宣传习近平总书记重要讲话精神，结合习近平总书记工作过的重要地方、党的十八大以来习近平总书记国内考察的重要足迹，在寻访实践中重温习近平总书记有关重要论述的精神要义。</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5.学习宣传习近平总书记关于爱国主义教育的重要论述，表达青年学生的爱国之情、强国之志、报国之行。</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6.学习宣传习近平总书记关于网络强国的重要思想，引导青年学生正确认识互联网、深入学习互联网、积极运用互联网，切实提升在网上明辨是非、鉴别真伪、分清善恶、判定美丑、维护安全的能力。</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7.学习宣传习近平法治思想，弘扬社会主义法治理念、法治精神，培育社会主义法治文化，不断提升法治意识和法治素养，自觉尊法学法守法用法。</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8.落实立德树人根本任务，深入实施“时代新人铸魂工程”，抓好后继有人根本大计，培养担当民族复兴大任的时代新人，提升高校思想政治教育时代性、针对性、科学性的思考和实践。</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9.推动“三全育人”综合改革，构建高校思想政治工作体系的思考与实践。</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10.促进教师做学生为学、为事、为人的示范，成为大先生的思考与实践。</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11.推进思政工作传统优势同信息技术融合，加强网络思政教育，提升网络舆论引导能力，运用互联网技术手段开展思政工作的对策分析。</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12.实施校园文化提能增效，强化以文化人以文育人，展示健康向上、格调高雅的校园文化活动。</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13.深入开展“四史”宣传教育，有效提升政治认同、思想认同、情感认同，切实做到学史明理、学史增信、学史崇德、学史力行。</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14.学习宣传中国共产党人的精神谱系，弘扬伟大建党精神，用好红色资源，发扬红色传统，传承红色基因，赓续共产党人精神血脉。</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15.学习弘扬中华优秀传统文化、革命文化、社会主义先进文化，践行社会主义核心价值观。开展非物质文化遗产、中华“老字号”品牌宣传推广。</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16.树牢总体国家安全观，从政治安全、社会安全、网络安全、科技安全、生态安全、生物安全及反间防谍、反恐防恐、反邪教等方面阐释国家安全教育的重要性，自觉维护国家安全。</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17.倡导文明理性健康上网，提升网络素养，积极参与网络文明建设，争做校园好网民，营造清朗网络空间，共建美好网上精神家园。</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18.体现青年学生敢为人先、敢于突破的创新精神，实学实干、孜孜不倦、追求卓越的奋斗品质，立大志、明大德、成大才、担大任、努力成为堪当民族复兴大任的时代新人的抱负决心。</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19.讲述青年学生在乡村振兴、科研攻关等重大行动中投身祖国、建功立业的生动事迹，体现青年学生为服务国家富强、民族复兴、人民幸福贡献力量的青春风采。</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20.学习弘扬科学家精神，围绕“爱国、创新、求实、奉献、协同、育人”内涵，营造崇尚科学、尊重科学的氛围。</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21.倡导新时代爱国卫生运动，普及心理健康知识，培育理性平和、积极向上的健康心态。</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22.提升新时代大学生诚信意识，围绕学习学术、助学贷款、就业求职等方面的问题开展诚信教育，营造诚实守信良好氛围。</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23.铸牢中华民族共同体意识，增强听党话、感党恩、跟党走的政治自觉、思想自觉和行动自觉，厚植对中华民族的认同感，构建中华民族共有精神家园。</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24.建设和谐、美丽、平安校园，实施“一站式”学生社区综合治理创新，净化校园及周边治安综合治理环境，提升广大师生安全感、获得感、幸福感。</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25.防范电信网络诈骗，提高反诈防骗能力，提升师生自我防护和遵纪守法意识。</w:t>
      </w:r>
    </w:p>
    <w:p>
      <w:pPr>
        <w:keepNext w:val="0"/>
        <w:keepLines w:val="0"/>
        <w:numPr>
          <w:ilvl w:val="0"/>
          <w:numId w:val="0"/>
        </w:numPr>
        <w:kinsoku/>
        <w:overflowPunct/>
        <w:topLinePunct w:val="0"/>
        <w:bidi w:val="0"/>
        <w:spacing w:before="156" w:beforeLines="50" w:after="156" w:afterLines="50" w:line="520" w:lineRule="exact"/>
        <w:ind w:firstLine="600" w:firstLineChars="200"/>
        <w:textAlignment w:val="auto"/>
        <w:rPr>
          <w:rFonts w:hint="eastAsia" w:ascii="仿宋_GB2312" w:hAnsi="仿宋" w:eastAsia="仿宋_GB2312" w:cs="宋体"/>
          <w:kern w:val="0"/>
          <w:sz w:val="30"/>
          <w:szCs w:val="30"/>
          <w:highlight w:val="none"/>
          <w:lang w:val="en-US" w:eastAsia="zh-CN"/>
        </w:rPr>
      </w:pPr>
      <w:r>
        <w:rPr>
          <w:rFonts w:hint="eastAsia" w:ascii="仿宋_GB2312" w:hAnsi="仿宋" w:eastAsia="仿宋_GB2312" w:cs="宋体"/>
          <w:kern w:val="0"/>
          <w:sz w:val="30"/>
          <w:szCs w:val="30"/>
          <w:highlight w:val="none"/>
          <w:lang w:val="en-US" w:eastAsia="zh-CN"/>
        </w:rPr>
        <w:t>26.积极开展绿色环保、书香阅读、厉行节约、禁毒防艾、打黄打黑等公益宣传。</w:t>
      </w:r>
    </w:p>
    <w:p>
      <w:pPr>
        <w:keepNext w:val="0"/>
        <w:keepLines w:val="0"/>
        <w:numPr>
          <w:ilvl w:val="0"/>
          <w:numId w:val="0"/>
        </w:numPr>
        <w:kinsoku/>
        <w:overflowPunct/>
        <w:topLinePunct w:val="0"/>
        <w:bidi w:val="0"/>
        <w:spacing w:before="156" w:beforeLines="50" w:after="156" w:afterLines="50" w:line="520" w:lineRule="exact"/>
        <w:ind w:firstLine="602" w:firstLineChars="200"/>
        <w:textAlignment w:val="auto"/>
      </w:pPr>
      <w:r>
        <w:rPr>
          <w:rFonts w:hint="eastAsia" w:ascii="仿宋_GB2312" w:hAnsi="仿宋" w:eastAsia="仿宋_GB2312" w:cs="宋体"/>
          <w:b/>
          <w:bCs/>
          <w:kern w:val="0"/>
          <w:sz w:val="30"/>
          <w:szCs w:val="30"/>
          <w:highlight w:val="none"/>
          <w:lang w:val="en-US" w:eastAsia="zh-CN"/>
        </w:rPr>
        <w:t>（供创作参考，不限于以上主题）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2Y2MyZWIzMWQ3YTQ5ZmI5NTc5MjNjMmY5YjlmZWIifQ=="/>
  </w:docVars>
  <w:rsids>
    <w:rsidRoot w:val="545A24CC"/>
    <w:rsid w:val="545A2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2023-11-03T05:35:00Z</dcterms:created>
  <dc:creator>一顆魚丸</dc:creator>
  <cp:lastModifiedBy>一顆魚丸</cp:lastModifiedBy>
  <dcterms:modified xsi:type="dcterms:W3CDTF">2023-11-03T05:35:25Z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92CDE62D09E54EDD86CA25F8DF11D025_11</vt:lpwstr>
  </property>
</Properties>
</file>