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0E" w:rsidRPr="001B7206" w:rsidRDefault="00554531">
      <w:pPr>
        <w:jc w:val="center"/>
        <w:rPr>
          <w:rFonts w:ascii="微软雅黑" w:eastAsia="微软雅黑" w:hAnsi="微软雅黑"/>
          <w:color w:val="000000" w:themeColor="text1"/>
          <w:sz w:val="36"/>
          <w:szCs w:val="36"/>
        </w:rPr>
      </w:pPr>
      <w:r w:rsidRPr="001B7206">
        <w:rPr>
          <w:rFonts w:ascii="微软雅黑" w:eastAsia="微软雅黑" w:hAnsi="微软雅黑" w:cs="黑体" w:hint="eastAsia"/>
          <w:color w:val="000000" w:themeColor="text1"/>
          <w:sz w:val="36"/>
          <w:szCs w:val="36"/>
        </w:rPr>
        <w:t>厦门大学嘉庚学院学生参军政策</w:t>
      </w:r>
    </w:p>
    <w:p w:rsidR="00AC1E0E" w:rsidRPr="001B7206" w:rsidRDefault="00554531" w:rsidP="001B7206">
      <w:pPr>
        <w:spacing w:beforeLines="50" w:afterLines="50"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一、报名条件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  <w:u w:val="single"/>
        </w:rPr>
        <w:t>年龄条件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：应届毕业男生可放宽至24周岁，应届毕业女生可放宽至22周岁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  <w:u w:val="single"/>
        </w:rPr>
        <w:t>身体条件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：男：身高≧160cm，标准体重+30%≧个人体重≧标准体重-15%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        女：身高≧158cm，标准体重+20%≧个人体重≧标准体重-15%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        视力：左眼裸眼视力≧4.5，右眼裸眼视力≧4.6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        </w:t>
      </w:r>
      <w:r w:rsidRPr="001B720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其他：血液、肝功能、尿检、心理检测等符合标准。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  <w:u w:val="single"/>
        </w:rPr>
        <w:t>户籍条件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：我校</w:t>
      </w: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在读生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和</w:t>
      </w: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应届毕业生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不受户籍限制，均可从厦门大学报名应征。</w:t>
      </w:r>
    </w:p>
    <w:p w:rsidR="00AC1E0E" w:rsidRPr="001B7206" w:rsidRDefault="00554531" w:rsidP="001B7206">
      <w:pPr>
        <w:spacing w:beforeLines="50" w:afterLines="50"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二、国家</w:t>
      </w:r>
      <w:r w:rsidRPr="001B7206"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  <w:t>、福建省</w:t>
      </w: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及</w:t>
      </w:r>
      <w:r w:rsidRPr="001B7206"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  <w:t>厦门市思明区相关</w:t>
      </w: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优抚</w:t>
      </w:r>
      <w:r w:rsidRPr="001B7206"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  <w:t>政策</w:t>
      </w:r>
    </w:p>
    <w:p w:rsidR="00AC1E0E" w:rsidRPr="001B7206" w:rsidRDefault="00554531">
      <w:pPr>
        <w:spacing w:line="340" w:lineRule="exac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/>
          <w:b/>
          <w:color w:val="000000" w:themeColor="text1"/>
          <w:sz w:val="18"/>
          <w:szCs w:val="18"/>
        </w:rPr>
        <w:t>1</w:t>
      </w:r>
      <w:r w:rsidRPr="001B720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、</w:t>
      </w:r>
      <w:r w:rsidRPr="001B7206">
        <w:rPr>
          <w:rFonts w:ascii="微软雅黑" w:eastAsia="微软雅黑" w:hAnsi="微软雅黑"/>
          <w:b/>
          <w:color w:val="000000" w:themeColor="text1"/>
          <w:sz w:val="18"/>
          <w:szCs w:val="18"/>
        </w:rPr>
        <w:t>经济类</w:t>
      </w:r>
      <w:r w:rsidRPr="001B720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（含各类补贴、自主创业税收优惠、创业小额担保贷款等）</w:t>
      </w:r>
    </w:p>
    <w:p w:rsidR="00AC1E0E" w:rsidRPr="001B7206" w:rsidRDefault="00554531">
      <w:pPr>
        <w:spacing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（1）各类</w:t>
      </w:r>
      <w:r w:rsidRPr="001B7206">
        <w:rPr>
          <w:rFonts w:ascii="微软雅黑" w:eastAsia="微软雅黑" w:hAnsi="微软雅黑"/>
          <w:b/>
          <w:color w:val="000000" w:themeColor="text1"/>
          <w:sz w:val="18"/>
          <w:szCs w:val="18"/>
        </w:rPr>
        <w:t>补贴：</w:t>
      </w:r>
    </w:p>
    <w:tbl>
      <w:tblPr>
        <w:tblW w:w="7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7"/>
        <w:gridCol w:w="2931"/>
        <w:gridCol w:w="1807"/>
      </w:tblGrid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</w:rPr>
              <w:t>项目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B7206" w:rsidRDefault="00554531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</w:rPr>
              <w:t>标准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B7206" w:rsidRDefault="00554531">
            <w:pPr>
              <w:spacing w:line="3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</w:rPr>
              <w:t>两年总额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大学生参军入伍奖励金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17000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元·应届/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000元·在读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≧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15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000元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应届毕业生参军入伍奖励金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4000元（应届）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4000元（应届）</w:t>
            </w:r>
          </w:p>
        </w:tc>
      </w:tr>
      <w:tr w:rsidR="00AC1E0E" w:rsidRPr="001B7206" w:rsidTr="001B7206">
        <w:trPr>
          <w:trHeight w:val="74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学制内的学费补偿</w:t>
            </w:r>
            <w:r w:rsidRPr="001B7206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（</w:t>
            </w:r>
            <w:r w:rsidRPr="001B7206"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  <w:t>优先偿还</w:t>
            </w:r>
            <w:r w:rsidRPr="001B7206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国家</w:t>
            </w:r>
            <w:r w:rsidRPr="001B7206"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  <w:t>助学贷款）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1B7206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8000元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32000元</w:t>
            </w:r>
            <w:r w:rsid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（四年制）</w:t>
            </w:r>
          </w:p>
          <w:p w:rsidR="00AC1E0E" w:rsidRPr="001B7206" w:rsidRDefault="001B7206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40</w:t>
            </w:r>
            <w:r w:rsidR="00554531"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000</w:t>
            </w:r>
            <w:r w:rsidR="00554531"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（五年制）</w:t>
            </w:r>
          </w:p>
        </w:tc>
      </w:tr>
      <w:tr w:rsidR="00AC1E0E" w:rsidRPr="001B7206" w:rsidTr="001B7206">
        <w:trPr>
          <w:trHeight w:val="744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大学生义务兵家属优待金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≧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20008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/年（在读）</w:t>
            </w:r>
          </w:p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≧2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4009.6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元（应届）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≧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40016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大学生义务兵家属元旦慰问金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2000元/年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4000元</w:t>
            </w:r>
          </w:p>
        </w:tc>
      </w:tr>
      <w:tr w:rsidR="00AC1E0E" w:rsidRPr="001B7206" w:rsidTr="001B7206">
        <w:trPr>
          <w:trHeight w:val="31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服役期间津贴</w:t>
            </w:r>
            <w:r w:rsidRPr="001B7206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（以陆军为例）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1000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元/月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5"/>
                <w:szCs w:val="15"/>
              </w:rPr>
              <w:t>·首年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；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1150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元/月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5"/>
                <w:szCs w:val="15"/>
              </w:rPr>
              <w:t>·次年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25800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退役补助金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53600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53600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退役金标准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4500元/年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9000元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退役杂类补贴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5000元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5000元</w:t>
            </w:r>
          </w:p>
        </w:tc>
      </w:tr>
      <w:tr w:rsidR="00AC1E0E" w:rsidRPr="001B7206" w:rsidTr="001B7206">
        <w:trPr>
          <w:trHeight w:val="37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社保金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16000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元可领现金；</w:t>
            </w:r>
          </w:p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26000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元存社保账户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</w:t>
            </w:r>
            <w:r w:rsidRPr="001B7206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2000</w:t>
            </w:r>
            <w:r w:rsidRPr="001B7206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元</w:t>
            </w:r>
          </w:p>
        </w:tc>
      </w:tr>
      <w:tr w:rsidR="00AC1E0E" w:rsidRPr="001B7206" w:rsidTr="001B7206">
        <w:trPr>
          <w:trHeight w:val="388"/>
        </w:trPr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B7206" w:rsidRDefault="00554531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0E" w:rsidRPr="001B7206" w:rsidRDefault="00554531" w:rsidP="001B7206">
            <w:pPr>
              <w:spacing w:line="340" w:lineRule="exact"/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1B7206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≧</w:t>
            </w:r>
            <w:r w:rsidRPr="001B7206">
              <w:rPr>
                <w:rFonts w:ascii="微软雅黑" w:eastAsia="微软雅黑" w:hAnsi="微软雅黑"/>
                <w:b/>
                <w:color w:val="000000" w:themeColor="text1"/>
                <w:sz w:val="18"/>
                <w:szCs w:val="18"/>
              </w:rPr>
              <w:t>230416</w:t>
            </w:r>
            <w:r w:rsidRPr="001B7206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szCs w:val="18"/>
              </w:rPr>
              <w:t>元</w:t>
            </w:r>
          </w:p>
        </w:tc>
      </w:tr>
    </w:tbl>
    <w:p w:rsidR="00AC1E0E" w:rsidRPr="001B7206" w:rsidRDefault="00AC1E0E">
      <w:pPr>
        <w:spacing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</w:p>
    <w:p w:rsidR="00AC1E0E" w:rsidRPr="001B7206" w:rsidRDefault="00554531">
      <w:pPr>
        <w:spacing w:line="340" w:lineRule="exact"/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lastRenderedPageBreak/>
        <w:t>（2）自主创业税收优惠、创业小额担保贷款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退役后自主创业的大学生在福建省内创业的，依法享受税收优惠，3年内免收行政事业性收费。符合支持创业小额担保贷款条件的，每年可向当地支持创业小额贷款担保中心申请最高20万元的小额担保贷款。</w:t>
      </w:r>
    </w:p>
    <w:p w:rsidR="00AC1E0E" w:rsidRPr="001B7206" w:rsidRDefault="00554531">
      <w:pPr>
        <w:spacing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2、退役就业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每年安排全省公务员（特定岗位）定向招录退役大学毕业生士兵；国有企业招聘安排15%、基层专职武装干部招录安排15%，用于定向招录（聘）退役大学毕业生士兵；退役大学毕业生士兵参加事业单位招聘考试，除享受退役士兵加分政策外，再另加5分（大学毕业生士兵退役后2年内享受上述优惠政策一次）。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退役大学生士兵服役视为基层工作经历，服役时间计算工龄。</w:t>
      </w:r>
      <w:r w:rsidRPr="001B7206">
        <w:rPr>
          <w:rFonts w:ascii="微软雅黑" w:eastAsia="微软雅黑" w:hAnsi="微软雅黑"/>
          <w:color w:val="000000" w:themeColor="text1"/>
          <w:sz w:val="18"/>
          <w:szCs w:val="18"/>
        </w:rPr>
        <w:t>高校毕业生士兵退役后一年内，可视同当年的应届毕业生，凭用人单位录（聘）用手续，向原就读高校再次申请办理就业报到手续，户档随迁（直辖市按照有关规定执行）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  <w:r w:rsidRPr="001B7206">
        <w:rPr>
          <w:rFonts w:ascii="微软雅黑" w:eastAsia="微软雅黑" w:hAnsi="微软雅黑"/>
          <w:color w:val="000000" w:themeColor="text1"/>
          <w:sz w:val="18"/>
          <w:szCs w:val="18"/>
        </w:rPr>
        <w:t>退役高校毕业生士兵可参加户籍所在地省级毕业生就业指导机构、原毕业高校就业招聘会，享受就业信息、重点推荐、就业指导等就业服务。</w:t>
      </w:r>
    </w:p>
    <w:p w:rsidR="00AC1E0E" w:rsidRPr="001B7206" w:rsidRDefault="00554531">
      <w:pPr>
        <w:spacing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3、复学升学</w:t>
      </w:r>
    </w:p>
    <w:p w:rsidR="00AC1E0E" w:rsidRPr="001B7206" w:rsidRDefault="00554531">
      <w:pPr>
        <w:spacing w:line="340" w:lineRule="exact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在校生(</w:t>
      </w:r>
      <w:r w:rsidRPr="001B7206">
        <w:rPr>
          <w:rFonts w:ascii="微软雅黑" w:eastAsia="微软雅黑" w:hAnsi="微软雅黑"/>
          <w:color w:val="000000" w:themeColor="text1"/>
          <w:sz w:val="18"/>
          <w:szCs w:val="18"/>
        </w:rPr>
        <w:t>含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高校</w:t>
      </w:r>
      <w:r w:rsidRPr="001B7206">
        <w:rPr>
          <w:rFonts w:ascii="微软雅黑" w:eastAsia="微软雅黑" w:hAnsi="微软雅黑"/>
          <w:color w:val="000000" w:themeColor="text1"/>
          <w:sz w:val="18"/>
          <w:szCs w:val="18"/>
        </w:rPr>
        <w:t>新生）服役期间保留学籍或入学资格，退役后2年内允许复学或入学。</w:t>
      </w:r>
      <w:r w:rsidRPr="001B72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应征入伍或退伍复学的学生,课程成绩评定及课程成绩记载,按照《厦门大学嘉庚学院入伍学生成绩管理办法》执行。退役后,可报考“退伍大学生士兵专项计划”硕士研究生（具体加分政策以报考学校政策为准）。</w:t>
      </w:r>
    </w:p>
    <w:p w:rsidR="00AC1E0E" w:rsidRPr="001B7206" w:rsidRDefault="00554531" w:rsidP="001B7206">
      <w:pPr>
        <w:spacing w:beforeLines="50" w:afterLines="50"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三、报名</w:t>
      </w:r>
      <w:r w:rsidRPr="001B7206"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  <w:t>方式</w:t>
      </w:r>
    </w:p>
    <w:p w:rsidR="00AC1E0E" w:rsidRPr="001B7206" w:rsidRDefault="00554531" w:rsidP="001B7206">
      <w:pPr>
        <w:spacing w:line="340" w:lineRule="exact"/>
        <w:ind w:firstLineChars="200" w:firstLine="400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请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登录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全国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征兵网</w:t>
      </w:r>
      <w:hyperlink r:id="rId7" w:history="1">
        <w:r w:rsidRPr="001B7206">
          <w:rPr>
            <w:rStyle w:val="a6"/>
            <w:rFonts w:ascii="Arial" w:eastAsia="微软雅黑" w:hAnsi="Arial" w:cs="Arial"/>
            <w:bCs/>
            <w:color w:val="000000" w:themeColor="text1"/>
            <w:sz w:val="20"/>
            <w:szCs w:val="20"/>
          </w:rPr>
          <w:t>http://www.gfbzb.gov.cn</w:t>
        </w:r>
      </w:hyperlink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根据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提示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进行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网上兵役登记和参军报名。</w:t>
      </w:r>
    </w:p>
    <w:p w:rsidR="00AC1E0E" w:rsidRPr="001B7206" w:rsidRDefault="00554531" w:rsidP="001B7206">
      <w:pPr>
        <w:spacing w:beforeLines="50" w:afterLines="50" w:line="340" w:lineRule="exact"/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四</w:t>
      </w:r>
      <w:r w:rsidRPr="001B7206">
        <w:rPr>
          <w:rFonts w:ascii="微软雅黑" w:eastAsia="微软雅黑" w:hAnsi="微软雅黑"/>
          <w:b/>
          <w:bCs/>
          <w:color w:val="000000" w:themeColor="text1"/>
          <w:sz w:val="18"/>
          <w:szCs w:val="18"/>
        </w:rPr>
        <w:t>、咨询</w:t>
      </w:r>
      <w:r w:rsidRPr="001B7206"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方式</w:t>
      </w:r>
    </w:p>
    <w:p w:rsidR="00AC1E0E" w:rsidRPr="001B7206" w:rsidRDefault="00554531" w:rsidP="001B7206">
      <w:pPr>
        <w:spacing w:line="340" w:lineRule="exact"/>
        <w:ind w:firstLineChars="200" w:firstLine="400"/>
        <w:rPr>
          <w:rFonts w:ascii="微软雅黑" w:eastAsia="微软雅黑" w:hAnsi="微软雅黑"/>
          <w:bCs/>
          <w:color w:val="000000" w:themeColor="text1"/>
          <w:sz w:val="20"/>
          <w:szCs w:val="20"/>
        </w:rPr>
      </w:pPr>
      <w:bookmarkStart w:id="0" w:name="_GoBack"/>
      <w:bookmarkEnd w:id="0"/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厦门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大学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嘉庚学院学工部（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主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20"/>
          <w:szCs w:val="20"/>
        </w:rPr>
        <w:t>3#601-2</w:t>
      </w:r>
      <w:r w:rsidRPr="001B7206">
        <w:rPr>
          <w:rFonts w:ascii="微软雅黑" w:eastAsia="微软雅黑" w:hAnsi="微软雅黑"/>
          <w:bCs/>
          <w:color w:val="000000" w:themeColor="text1"/>
          <w:sz w:val="20"/>
          <w:szCs w:val="20"/>
        </w:rPr>
        <w:t>）</w:t>
      </w:r>
    </w:p>
    <w:p w:rsidR="00AC1E0E" w:rsidRPr="001B7206" w:rsidRDefault="00554531" w:rsidP="001B7206">
      <w:pPr>
        <w:spacing w:line="340" w:lineRule="exact"/>
        <w:ind w:firstLineChars="200" w:firstLine="360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联系</w:t>
      </w:r>
      <w:r w:rsidRPr="001B7206">
        <w:rPr>
          <w:rFonts w:ascii="微软雅黑" w:eastAsia="微软雅黑" w:hAnsi="微软雅黑"/>
          <w:bCs/>
          <w:color w:val="000000" w:themeColor="text1"/>
          <w:sz w:val="18"/>
          <w:szCs w:val="18"/>
        </w:rPr>
        <w:t>人：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孟</w:t>
      </w:r>
      <w:r w:rsidRPr="001B7206">
        <w:rPr>
          <w:rFonts w:ascii="微软雅黑" w:eastAsia="微软雅黑" w:hAnsi="微软雅黑"/>
          <w:bCs/>
          <w:color w:val="000000" w:themeColor="text1"/>
          <w:sz w:val="18"/>
          <w:szCs w:val="18"/>
        </w:rPr>
        <w:t>老师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  联系</w:t>
      </w:r>
      <w:r w:rsidRPr="001B7206">
        <w:rPr>
          <w:rFonts w:ascii="微软雅黑" w:eastAsia="微软雅黑" w:hAnsi="微软雅黑"/>
          <w:bCs/>
          <w:color w:val="000000" w:themeColor="text1"/>
          <w:sz w:val="18"/>
          <w:szCs w:val="18"/>
        </w:rPr>
        <w:t>电话：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0596-6288275</w:t>
      </w:r>
    </w:p>
    <w:p w:rsidR="00AC1E0E" w:rsidRPr="001B7206" w:rsidRDefault="00554531" w:rsidP="001B7206">
      <w:pPr>
        <w:spacing w:line="340" w:lineRule="exact"/>
        <w:ind w:firstLineChars="200" w:firstLine="360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军旅嘉人QQ群：159516070</w:t>
      </w:r>
    </w:p>
    <w:p w:rsidR="00AC1E0E" w:rsidRPr="001B7206" w:rsidRDefault="00554531" w:rsidP="001B7206">
      <w:pPr>
        <w:spacing w:line="340" w:lineRule="exact"/>
        <w:ind w:firstLineChars="200" w:firstLine="360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军鹰协会</w:t>
      </w:r>
      <w:r w:rsid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微信公众号</w:t>
      </w:r>
      <w:r w:rsidRPr="001B7206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：嘉庚军鹰</w:t>
      </w:r>
    </w:p>
    <w:p w:rsidR="00AC1E0E" w:rsidRDefault="00AC1E0E" w:rsidP="00AC1E0E">
      <w:pPr>
        <w:spacing w:line="340" w:lineRule="exact"/>
        <w:ind w:firstLineChars="200" w:firstLine="360"/>
        <w:rPr>
          <w:rFonts w:ascii="微软雅黑" w:eastAsia="微软雅黑" w:hAnsi="微软雅黑"/>
          <w:b/>
          <w:bCs/>
          <w:sz w:val="18"/>
          <w:szCs w:val="18"/>
        </w:rPr>
      </w:pPr>
    </w:p>
    <w:sectPr w:rsidR="00AC1E0E" w:rsidSect="00AC1E0E">
      <w:pgSz w:w="16838" w:h="11906" w:orient="landscape"/>
      <w:pgMar w:top="567" w:right="720" w:bottom="567" w:left="720" w:header="851" w:footer="992" w:gutter="0"/>
      <w:cols w:num="2" w:space="1612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E4" w:rsidRDefault="003032E4" w:rsidP="00CD71C1">
      <w:r>
        <w:separator/>
      </w:r>
    </w:p>
  </w:endnote>
  <w:endnote w:type="continuationSeparator" w:id="1">
    <w:p w:rsidR="003032E4" w:rsidRDefault="003032E4" w:rsidP="00CD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E4" w:rsidRDefault="003032E4" w:rsidP="00CD71C1">
      <w:r>
        <w:separator/>
      </w:r>
    </w:p>
  </w:footnote>
  <w:footnote w:type="continuationSeparator" w:id="1">
    <w:p w:rsidR="003032E4" w:rsidRDefault="003032E4" w:rsidP="00CD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ED1"/>
    <w:rsid w:val="000016B9"/>
    <w:rsid w:val="00044159"/>
    <w:rsid w:val="000D1528"/>
    <w:rsid w:val="000E0944"/>
    <w:rsid w:val="000E6306"/>
    <w:rsid w:val="001108AD"/>
    <w:rsid w:val="001B7206"/>
    <w:rsid w:val="001F68EB"/>
    <w:rsid w:val="002A0B8B"/>
    <w:rsid w:val="002A7204"/>
    <w:rsid w:val="003032E4"/>
    <w:rsid w:val="00355C23"/>
    <w:rsid w:val="0036638B"/>
    <w:rsid w:val="00380BA6"/>
    <w:rsid w:val="0040180A"/>
    <w:rsid w:val="004313AB"/>
    <w:rsid w:val="004A699E"/>
    <w:rsid w:val="004B5BC7"/>
    <w:rsid w:val="004D69B4"/>
    <w:rsid w:val="00512BB0"/>
    <w:rsid w:val="00521D21"/>
    <w:rsid w:val="00521EE3"/>
    <w:rsid w:val="00526435"/>
    <w:rsid w:val="00554531"/>
    <w:rsid w:val="005723DD"/>
    <w:rsid w:val="005976D8"/>
    <w:rsid w:val="005D2873"/>
    <w:rsid w:val="005D44B5"/>
    <w:rsid w:val="00600B6D"/>
    <w:rsid w:val="00634978"/>
    <w:rsid w:val="006B498B"/>
    <w:rsid w:val="006B4F4D"/>
    <w:rsid w:val="006D7C86"/>
    <w:rsid w:val="006F6006"/>
    <w:rsid w:val="006F68D5"/>
    <w:rsid w:val="00721CE2"/>
    <w:rsid w:val="00727313"/>
    <w:rsid w:val="0074382A"/>
    <w:rsid w:val="007522D3"/>
    <w:rsid w:val="00753C2D"/>
    <w:rsid w:val="00776D55"/>
    <w:rsid w:val="007849E8"/>
    <w:rsid w:val="007A4EFA"/>
    <w:rsid w:val="007D0BFD"/>
    <w:rsid w:val="007D4C46"/>
    <w:rsid w:val="00816F77"/>
    <w:rsid w:val="00841D8E"/>
    <w:rsid w:val="00881A95"/>
    <w:rsid w:val="00897560"/>
    <w:rsid w:val="008F5335"/>
    <w:rsid w:val="0090172D"/>
    <w:rsid w:val="00905E3E"/>
    <w:rsid w:val="00917625"/>
    <w:rsid w:val="009746FF"/>
    <w:rsid w:val="0098436F"/>
    <w:rsid w:val="0099322C"/>
    <w:rsid w:val="009D623F"/>
    <w:rsid w:val="00A23A88"/>
    <w:rsid w:val="00A452AC"/>
    <w:rsid w:val="00A713BA"/>
    <w:rsid w:val="00A74338"/>
    <w:rsid w:val="00A846E6"/>
    <w:rsid w:val="00AC1E0E"/>
    <w:rsid w:val="00AC3182"/>
    <w:rsid w:val="00AD63D9"/>
    <w:rsid w:val="00AE291F"/>
    <w:rsid w:val="00AE6A7A"/>
    <w:rsid w:val="00AF6BF8"/>
    <w:rsid w:val="00AF6F80"/>
    <w:rsid w:val="00B65D55"/>
    <w:rsid w:val="00B7282E"/>
    <w:rsid w:val="00B81663"/>
    <w:rsid w:val="00B86A61"/>
    <w:rsid w:val="00CC5D85"/>
    <w:rsid w:val="00CD71C1"/>
    <w:rsid w:val="00CE242B"/>
    <w:rsid w:val="00D500B6"/>
    <w:rsid w:val="00D7056D"/>
    <w:rsid w:val="00D72CA7"/>
    <w:rsid w:val="00D924E0"/>
    <w:rsid w:val="00DA34D2"/>
    <w:rsid w:val="00DA4C06"/>
    <w:rsid w:val="00DB3DF8"/>
    <w:rsid w:val="00DC6725"/>
    <w:rsid w:val="00E1066E"/>
    <w:rsid w:val="00E356E4"/>
    <w:rsid w:val="00E5318F"/>
    <w:rsid w:val="00E66461"/>
    <w:rsid w:val="00EA4075"/>
    <w:rsid w:val="00EA4ED1"/>
    <w:rsid w:val="00F00E25"/>
    <w:rsid w:val="00F270A3"/>
    <w:rsid w:val="00F52D52"/>
    <w:rsid w:val="00F81A71"/>
    <w:rsid w:val="00F82194"/>
    <w:rsid w:val="00FA7E29"/>
    <w:rsid w:val="026604D4"/>
    <w:rsid w:val="034B26D0"/>
    <w:rsid w:val="04613BD4"/>
    <w:rsid w:val="05EC4DC4"/>
    <w:rsid w:val="0E1F7F99"/>
    <w:rsid w:val="105F1698"/>
    <w:rsid w:val="10F24822"/>
    <w:rsid w:val="113B3140"/>
    <w:rsid w:val="11FA3842"/>
    <w:rsid w:val="12AB6F30"/>
    <w:rsid w:val="17746B46"/>
    <w:rsid w:val="19525F09"/>
    <w:rsid w:val="1A6B3F0E"/>
    <w:rsid w:val="1FE9215A"/>
    <w:rsid w:val="25A5394E"/>
    <w:rsid w:val="27DE5973"/>
    <w:rsid w:val="2B137E60"/>
    <w:rsid w:val="2CEA1137"/>
    <w:rsid w:val="2D885534"/>
    <w:rsid w:val="314F09A2"/>
    <w:rsid w:val="33071729"/>
    <w:rsid w:val="38FF3CAD"/>
    <w:rsid w:val="3BD67DA4"/>
    <w:rsid w:val="498E0C34"/>
    <w:rsid w:val="49EB6501"/>
    <w:rsid w:val="4F3B6EE8"/>
    <w:rsid w:val="51416DF5"/>
    <w:rsid w:val="53D73591"/>
    <w:rsid w:val="55A31FFD"/>
    <w:rsid w:val="578D41B2"/>
    <w:rsid w:val="59A9698D"/>
    <w:rsid w:val="5A1759BC"/>
    <w:rsid w:val="5D1D4619"/>
    <w:rsid w:val="620368E9"/>
    <w:rsid w:val="73E87C68"/>
    <w:rsid w:val="756A3A5A"/>
    <w:rsid w:val="77C80105"/>
    <w:rsid w:val="794B6BB4"/>
    <w:rsid w:val="7A8C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C1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AC1E0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C1E0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C1E0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C1E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0E"/>
    <w:rPr>
      <w:sz w:val="18"/>
      <w:szCs w:val="18"/>
    </w:rPr>
  </w:style>
  <w:style w:type="paragraph" w:customStyle="1" w:styleId="Char10">
    <w:name w:val="Char1"/>
    <w:basedOn w:val="a"/>
    <w:rsid w:val="00AC1E0E"/>
    <w:pPr>
      <w:spacing w:line="240" w:lineRule="atLeast"/>
      <w:ind w:left="420" w:firstLine="420"/>
    </w:pPr>
    <w:rPr>
      <w:rFonts w:ascii="Times New Roman" w:eastAsia="仿宋_GB2312" w:hAnsi="Times New Roman" w:cs="Times New Roman"/>
      <w:kern w:val="0"/>
      <w:sz w:val="36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fbzb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1221</Characters>
  <Application>Microsoft Office Word</Application>
  <DocSecurity>0</DocSecurity>
  <Lines>10</Lines>
  <Paragraphs>2</Paragraphs>
  <ScaleCrop>false</ScaleCrop>
  <Company>MS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王旖旎(2007100158)</dc:creator>
  <cp:lastModifiedBy>USER-</cp:lastModifiedBy>
  <cp:revision>14</cp:revision>
  <cp:lastPrinted>2017-05-10T02:17:00Z</cp:lastPrinted>
  <dcterms:created xsi:type="dcterms:W3CDTF">2018-04-09T08:45:00Z</dcterms:created>
  <dcterms:modified xsi:type="dcterms:W3CDTF">2019-05-15T02:26:00Z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